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86BCE2" w14:textId="5AC2C7DB" w:rsidR="001816C6" w:rsidRPr="004144B1" w:rsidRDefault="004144B1" w:rsidP="004144B1">
      <w:r w:rsidRPr="004144B1">
        <w:rPr>
          <w:b/>
          <w:bCs/>
        </w:rPr>
        <w:t>VÉRTESSZŐLŐS KÖZSÉG ÖNKORMÁNYZATA</w:t>
      </w:r>
      <w:r w:rsidRPr="004144B1">
        <w:rPr>
          <w:b/>
          <w:bCs/>
        </w:rPr>
        <w:br/>
      </w:r>
      <w:r w:rsidRPr="004144B1">
        <w:rPr>
          <w:b/>
          <w:bCs/>
        </w:rPr>
        <w:br/>
        <w:t>Tisztelt Intézményvezető!</w:t>
      </w:r>
      <w:r w:rsidRPr="004144B1">
        <w:rPr>
          <w:b/>
          <w:bCs/>
        </w:rPr>
        <w:br/>
      </w:r>
      <w:r w:rsidRPr="004144B1">
        <w:rPr>
          <w:b/>
          <w:bCs/>
        </w:rPr>
        <w:br/>
        <w:t>Mindenekelőtt kérem engedje meg, hogy megköszönjük részvételét az 2019. évi Integritás Felmérésben.</w:t>
      </w:r>
      <w:r w:rsidRPr="004144B1">
        <w:rPr>
          <w:b/>
          <w:bCs/>
        </w:rPr>
        <w:br/>
      </w:r>
      <w:r w:rsidRPr="004144B1">
        <w:rPr>
          <w:b/>
          <w:bCs/>
        </w:rPr>
        <w:br/>
        <w:t xml:space="preserve">Tájékoztatom, hogy a hazai közintézmények integritás kultúrájának meghonosítását és elterjesztését szolgáló felmérés eredményeit ismertető elemzés „A közszféra integritásának elemzése 2019” címmel immár elérhető és teljes terjedelemben letölthető az Állami Számvevőszék honlapjáról, a </w:t>
      </w:r>
      <w:hyperlink r:id="rId4" w:history="1">
        <w:r w:rsidRPr="004144B1">
          <w:rPr>
            <w:rStyle w:val="Hiperhivatkozs"/>
            <w:b/>
            <w:bCs/>
          </w:rPr>
          <w:t>https://asz.hu/hu/publikaciok/elemzes-2020-ev</w:t>
        </w:r>
      </w:hyperlink>
      <w:r w:rsidRPr="004144B1">
        <w:rPr>
          <w:b/>
          <w:bCs/>
        </w:rPr>
        <w:t xml:space="preserve"> oldalon keresztül.</w:t>
      </w:r>
      <w:r w:rsidRPr="004144B1">
        <w:rPr>
          <w:b/>
          <w:bCs/>
        </w:rPr>
        <w:br/>
      </w:r>
      <w:r w:rsidRPr="004144B1">
        <w:rPr>
          <w:b/>
          <w:bCs/>
        </w:rPr>
        <w:br/>
        <w:t>Az elemzés célja, hogy támogassa az integritás kultúra megerősítését a magyar közszféra intézményei körében. Hozzájáruljon az integritás kockázatok azonosításához, elemzési eredményein keresztül támogassa az integritás kontrollrendszer hatékony működését.</w:t>
      </w:r>
      <w:r w:rsidRPr="004144B1">
        <w:rPr>
          <w:b/>
          <w:bCs/>
        </w:rPr>
        <w:br/>
      </w:r>
      <w:r w:rsidRPr="004144B1">
        <w:rPr>
          <w:b/>
          <w:bCs/>
        </w:rPr>
        <w:br/>
        <w:t>Az integritás szemléletű működésnek különös aktualitást ad a jelenlegi egészségügyi veszélyhelyzet, a közszférát érintő többletfeladatok miatt most még fontosabb a korrupciós veszélyek megelőzése.</w:t>
      </w:r>
      <w:r w:rsidRPr="004144B1">
        <w:rPr>
          <w:b/>
          <w:bCs/>
        </w:rPr>
        <w:br/>
      </w:r>
      <w:r w:rsidRPr="004144B1">
        <w:rPr>
          <w:b/>
          <w:bCs/>
        </w:rPr>
        <w:br/>
        <w:t>Az Állami Számvevőszék ebben a formában utolsó Integritás felmérését végezte el, tekintettel arra, hogy az elmúlt évek fejlődésének köszönhetően széleskörűen ellenőrizhetővé váltak a korrupciós veszélyek ellen védettséget biztosító integritáskontrollok a magyar közszférában. Az ÁSZ mostantól az integritáskontrollok monitoring alapú ellenőrzésére helyezi a hangsúlyt, valamint széleskörű tanácsadó tevékenységével, folyamatosan bővülő önteszt-rendszerével támogatja a közszféra szervezeteinek integritásközpontú működését.</w:t>
      </w:r>
      <w:r w:rsidRPr="004144B1">
        <w:rPr>
          <w:b/>
          <w:bCs/>
        </w:rPr>
        <w:br/>
      </w:r>
      <w:r w:rsidRPr="004144B1">
        <w:rPr>
          <w:b/>
          <w:bCs/>
        </w:rPr>
        <w:br/>
        <w:t>A 2019-es elemzés feltárta, hogy szinte valamennyi területen erősödött a korrupció elleni védettséget biztosító kontrollok kiépítettsége. A magasabb korrupciós kockázati kitettséggel bíró intézményeknél jellemzően magasabb a kockázatok mérséklését szolgáló kontrollok kiépítettsége is. Az egyéb igazgatási tevékenységet végző szervezetek alacsonyabb szintű kontroll-kiépítettségének oka, hogy ezen a területen volt a legmagasabb a kérdőívet első alkalommal kitöltők aránya. Az ÁSZ elemzése rámutat, hogy az integritás kontrollok megerősítése terén a legnagyobb fejlődést a helyi önkormányzatok (59%), a kulturális intézmények (52%) és a tudományos kutatás, fejlesztés területén működő intézménycsoportok (61%) érték el. A felmérésben való részvétel hozzájárult ahhoz, hogy a közszféra intézményei helyesen azonosítsák a rájuk jellemző korrupciós kockázatokat.</w:t>
      </w:r>
      <w:r w:rsidRPr="004144B1">
        <w:rPr>
          <w:b/>
          <w:bCs/>
        </w:rPr>
        <w:br/>
      </w:r>
      <w:r w:rsidRPr="004144B1">
        <w:rPr>
          <w:b/>
          <w:bCs/>
        </w:rPr>
        <w:br/>
        <w:t xml:space="preserve">A korábbi évek tapasztalataihoz hasonlóan, az ÁSZ elemzői arra a következtetésre jutottak, hogy a közszolgáltatás nyújtása, a túlkereslet, valamint a méltányosság gyakorlása jelent kiemelkedő kockázatot, miközben számos esetben 100%-ban kiépített kontrollt azonosítottak. Ilyen például a szerződések teljesítésének kifizetése előtti ellenőrzése, a közszolgáltatások esetén az igénybevétel feltételeinek megismerhetősége, a gazdálkodási jogkörök gyakorlásának kontrollja, a belső ellenőrzés, illetve a bejelentők/panaszosok tájékoztatása a megtett intézkedésekről. A felmérés rávilágított azonban kevésbé jól </w:t>
      </w:r>
      <w:r w:rsidRPr="004144B1">
        <w:rPr>
          <w:b/>
          <w:bCs/>
        </w:rPr>
        <w:lastRenderedPageBreak/>
        <w:t>kontrollált területekre is. Habár kockázatelemzést az intézmények 70%-a végzett, rendszeres korrupciós kockázatelemzésről csupán minden ötödik intézmény gondoskodott 2019-ben. A válaszadók közel harmada egyáltalán nem végez kockázatelemzést, vagy elmulasztja a kapott eredmények kiértékelését. Kiemelten fontos korrupció elleni védelmet biztosító kontrolleszköz az összeférhetetlenség megfelelő szabályozása. A közintézmények többsége (69%) rendelkezett ugyan az összeférhetetlenségre vonatkozó szabályozással, de csak 59% írta elő az összeférhetetlenségre vonatkozó nyilatkozattételi kötelezettséget. Továbbra is alacsony az ajándékok elfogadására vonatkozó szabályzattal rendelkező (37%), valamint az integritás tanácsadót alkalmazó intézmények (9%) aránya. Az ÁSZ felmérése rávilágított arra is, hogy ritkán alkalmazott, egyébként rendkívül hatékony kontrolleszköz az emberi tényező kizárásával működő automatizált rendszerek alkalmazása.</w:t>
      </w:r>
      <w:r w:rsidRPr="004144B1">
        <w:rPr>
          <w:b/>
          <w:bCs/>
        </w:rPr>
        <w:br/>
      </w:r>
      <w:r w:rsidRPr="004144B1">
        <w:rPr>
          <w:b/>
          <w:bCs/>
        </w:rPr>
        <w:br/>
        <w:t>Az Integritás felmérés az ÁSZ munkáját számos ponton segítette az elmúlt években: az állandóan frissülő adatbázis a változások rendszerszintű nyomon követésével az integritás ellenőrzések tervezését és megvalósítását is támogatta. Az elmúlt kilenc év tapasztalatai alapján kijelenthető, hogy az Integritás felmérés elérte alapvető célját, az integritás szemlélet elterjesztését. Mindezek hatására a magyar közszférában nyomon követhető az integritás kultúra alapvető eszközeinek megjelenése és elterjedése, azonban ezen a ponton nem szabad megállni. Nem csak a tudatosításra kell törekedni, hanem arra is, hogy az integritás kontrollok kiépítettsége megfelelő és fenntartható legyen, azaz, hogy a közintézmények ezzel segítsék a jól irányított állam megvalósulását.</w:t>
      </w:r>
      <w:r w:rsidRPr="004144B1">
        <w:rPr>
          <w:b/>
          <w:bCs/>
        </w:rPr>
        <w:br/>
      </w:r>
      <w:r w:rsidRPr="004144B1">
        <w:rPr>
          <w:b/>
          <w:bCs/>
        </w:rPr>
        <w:br/>
        <w:t>Bízunk benne, hogy elemzési tapasztalatainkat eredménnyel tudja majd hasznosítani!</w:t>
      </w:r>
      <w:r w:rsidRPr="004144B1">
        <w:rPr>
          <w:b/>
          <w:bCs/>
        </w:rPr>
        <w:br/>
      </w:r>
      <w:r w:rsidRPr="004144B1">
        <w:rPr>
          <w:b/>
          <w:bCs/>
        </w:rPr>
        <w:br/>
        <w:t>Felelősségteljes munkájához további sok sikert és jó egészséget kívánunk!</w:t>
      </w:r>
      <w:r w:rsidRPr="004144B1">
        <w:rPr>
          <w:b/>
          <w:bCs/>
        </w:rPr>
        <w:br/>
      </w:r>
      <w:r w:rsidRPr="004144B1">
        <w:rPr>
          <w:b/>
          <w:bCs/>
        </w:rPr>
        <w:br/>
        <w:t>Állami Számvevőszék</w:t>
      </w:r>
      <w:r w:rsidRPr="004144B1">
        <w:rPr>
          <w:b/>
          <w:bCs/>
        </w:rPr>
        <w:br/>
        <w:t>Integritás Projekt</w:t>
      </w:r>
      <w:r w:rsidRPr="004144B1">
        <w:rPr>
          <w:b/>
          <w:bCs/>
        </w:rPr>
        <w:br/>
      </w:r>
      <w:r w:rsidRPr="004144B1">
        <w:rPr>
          <w:b/>
          <w:bCs/>
        </w:rPr>
        <w:br/>
      </w:r>
    </w:p>
    <w:sectPr w:rsidR="001816C6" w:rsidRPr="004144B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fullPage"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4B1"/>
    <w:rsid w:val="001816C6"/>
    <w:rsid w:val="003B414A"/>
    <w:rsid w:val="004144B1"/>
    <w:rsid w:val="00526803"/>
    <w:rsid w:val="00605AE0"/>
    <w:rsid w:val="008D71B7"/>
    <w:rsid w:val="00AC5BB8"/>
    <w:rsid w:val="00CD122D"/>
    <w:rsid w:val="00D86C08"/>
    <w:rsid w:val="00EB0095"/>
    <w:rsid w:val="00F1199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21673"/>
  <w15:chartTrackingRefBased/>
  <w15:docId w15:val="{B2912DF6-F1D5-4C49-8F39-12196274A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4144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semiHidden/>
    <w:unhideWhenUsed/>
    <w:qFormat/>
    <w:rsid w:val="004144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4144B1"/>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4144B1"/>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4144B1"/>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4144B1"/>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4144B1"/>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4144B1"/>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4144B1"/>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4144B1"/>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semiHidden/>
    <w:rsid w:val="004144B1"/>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semiHidden/>
    <w:rsid w:val="004144B1"/>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4144B1"/>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semiHidden/>
    <w:rsid w:val="004144B1"/>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4144B1"/>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4144B1"/>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4144B1"/>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4144B1"/>
    <w:rPr>
      <w:rFonts w:eastAsiaTheme="majorEastAsia" w:cstheme="majorBidi"/>
      <w:color w:val="272727" w:themeColor="text1" w:themeTint="D8"/>
    </w:rPr>
  </w:style>
  <w:style w:type="paragraph" w:styleId="Cm">
    <w:name w:val="Title"/>
    <w:basedOn w:val="Norml"/>
    <w:next w:val="Norml"/>
    <w:link w:val="CmChar"/>
    <w:uiPriority w:val="10"/>
    <w:qFormat/>
    <w:rsid w:val="004144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4144B1"/>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4144B1"/>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4144B1"/>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4144B1"/>
    <w:pPr>
      <w:spacing w:before="160"/>
      <w:jc w:val="center"/>
    </w:pPr>
    <w:rPr>
      <w:i/>
      <w:iCs/>
      <w:color w:val="404040" w:themeColor="text1" w:themeTint="BF"/>
    </w:rPr>
  </w:style>
  <w:style w:type="character" w:customStyle="1" w:styleId="IdzetChar">
    <w:name w:val="Idézet Char"/>
    <w:basedOn w:val="Bekezdsalapbettpusa"/>
    <w:link w:val="Idzet"/>
    <w:uiPriority w:val="29"/>
    <w:rsid w:val="004144B1"/>
    <w:rPr>
      <w:i/>
      <w:iCs/>
      <w:color w:val="404040" w:themeColor="text1" w:themeTint="BF"/>
    </w:rPr>
  </w:style>
  <w:style w:type="paragraph" w:styleId="Listaszerbekezds">
    <w:name w:val="List Paragraph"/>
    <w:basedOn w:val="Norml"/>
    <w:uiPriority w:val="34"/>
    <w:qFormat/>
    <w:rsid w:val="004144B1"/>
    <w:pPr>
      <w:ind w:left="720"/>
      <w:contextualSpacing/>
    </w:pPr>
  </w:style>
  <w:style w:type="character" w:styleId="Erskiemels">
    <w:name w:val="Intense Emphasis"/>
    <w:basedOn w:val="Bekezdsalapbettpusa"/>
    <w:uiPriority w:val="21"/>
    <w:qFormat/>
    <w:rsid w:val="004144B1"/>
    <w:rPr>
      <w:i/>
      <w:iCs/>
      <w:color w:val="0F4761" w:themeColor="accent1" w:themeShade="BF"/>
    </w:rPr>
  </w:style>
  <w:style w:type="paragraph" w:styleId="Kiemeltidzet">
    <w:name w:val="Intense Quote"/>
    <w:basedOn w:val="Norml"/>
    <w:next w:val="Norml"/>
    <w:link w:val="KiemeltidzetChar"/>
    <w:uiPriority w:val="30"/>
    <w:qFormat/>
    <w:rsid w:val="004144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4144B1"/>
    <w:rPr>
      <w:i/>
      <w:iCs/>
      <w:color w:val="0F4761" w:themeColor="accent1" w:themeShade="BF"/>
    </w:rPr>
  </w:style>
  <w:style w:type="character" w:styleId="Ershivatkozs">
    <w:name w:val="Intense Reference"/>
    <w:basedOn w:val="Bekezdsalapbettpusa"/>
    <w:uiPriority w:val="32"/>
    <w:qFormat/>
    <w:rsid w:val="004144B1"/>
    <w:rPr>
      <w:b/>
      <w:bCs/>
      <w:smallCaps/>
      <w:color w:val="0F4761" w:themeColor="accent1" w:themeShade="BF"/>
      <w:spacing w:val="5"/>
    </w:rPr>
  </w:style>
  <w:style w:type="character" w:styleId="Hiperhivatkozs">
    <w:name w:val="Hyperlink"/>
    <w:basedOn w:val="Bekezdsalapbettpusa"/>
    <w:uiPriority w:val="99"/>
    <w:unhideWhenUsed/>
    <w:rsid w:val="004144B1"/>
    <w:rPr>
      <w:color w:val="467886" w:themeColor="hyperlink"/>
      <w:u w:val="single"/>
    </w:rPr>
  </w:style>
  <w:style w:type="character" w:styleId="Feloldatlanmegemlts">
    <w:name w:val="Unresolved Mention"/>
    <w:basedOn w:val="Bekezdsalapbettpusa"/>
    <w:uiPriority w:val="99"/>
    <w:semiHidden/>
    <w:unhideWhenUsed/>
    <w:rsid w:val="004144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sz.hu/hu/publikaciok/elemzes-2020-ev"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624</Words>
  <Characters>4310</Characters>
  <Application>Microsoft Office Word</Application>
  <DocSecurity>0</DocSecurity>
  <Lines>35</Lines>
  <Paragraphs>9</Paragraphs>
  <ScaleCrop>false</ScaleCrop>
  <Company/>
  <LinksUpToDate>false</LinksUpToDate>
  <CharactersWithSpaces>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 Tóthné Pammer</dc:creator>
  <cp:keywords/>
  <dc:description/>
  <cp:lastModifiedBy>Judit Tóthné Pammer</cp:lastModifiedBy>
  <cp:revision>1</cp:revision>
  <dcterms:created xsi:type="dcterms:W3CDTF">2024-09-24T10:59:00Z</dcterms:created>
  <dcterms:modified xsi:type="dcterms:W3CDTF">2024-09-24T11:01:00Z</dcterms:modified>
</cp:coreProperties>
</file>